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865" w:rsidRDefault="005B5F18">
      <w:pPr>
        <w:widowControl w:val="0"/>
        <w:spacing w:before="64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TÍTULO  DO CAPÍTULO </w:t>
      </w:r>
    </w:p>
    <w:p w:rsidR="00CF2865" w:rsidRDefault="005B5F18">
      <w:pPr>
        <w:widowControl w:val="0"/>
        <w:spacing w:after="0" w:line="231" w:lineRule="auto"/>
        <w:ind w:left="901" w:right="981"/>
        <w:jc w:val="center"/>
        <w:rPr>
          <w:rFonts w:ascii="Times New Roman" w:eastAsia="Times New Roman" w:hAnsi="Times New Roman" w:cs="Times New Roman"/>
          <w:b/>
          <w:color w:val="A6A6A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6A6A6"/>
          <w:sz w:val="28"/>
          <w:szCs w:val="28"/>
        </w:rPr>
        <w:t xml:space="preserve">FONTE TIMES NEW ROMAN, 14, NEGRITO, EM CAIXA  ALTA, CENTRALIZADO, MÁXIMO 20 PALAVRAS COM ATÉ 120 CARACTERES </w:t>
      </w:r>
    </w:p>
    <w:p w:rsidR="00CF2865" w:rsidRDefault="005B5F18">
      <w:pPr>
        <w:widowControl w:val="0"/>
        <w:spacing w:before="282" w:after="0" w:line="240" w:lineRule="auto"/>
        <w:ind w:right="66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Autor 1 – email – IES  </w:t>
      </w:r>
    </w:p>
    <w:p w:rsidR="00CF2865" w:rsidRDefault="005B5F18">
      <w:pPr>
        <w:widowControl w:val="0"/>
        <w:spacing w:before="135" w:after="0" w:line="240" w:lineRule="auto"/>
        <w:ind w:right="731"/>
        <w:jc w:val="right"/>
        <w:rPr>
          <w:rFonts w:ascii="Times New Roman" w:eastAsia="Times New Roman" w:hAnsi="Times New Roman" w:cs="Times New Roman"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 xml:space="preserve">Fonte Times New Roman 12, alinhado à direita, espaçamento 1,5 </w:t>
      </w:r>
    </w:p>
    <w:p w:rsidR="00CF2865" w:rsidRDefault="005B5F18">
      <w:pPr>
        <w:widowControl w:val="0"/>
        <w:spacing w:before="131" w:after="0" w:line="240" w:lineRule="auto"/>
        <w:ind w:right="72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(Autor 2 – email – IES) </w:t>
      </w:r>
    </w:p>
    <w:p w:rsidR="00CF2865" w:rsidRDefault="005B5F18">
      <w:pPr>
        <w:widowControl w:val="0"/>
        <w:spacing w:before="135" w:after="0" w:line="240" w:lineRule="auto"/>
        <w:ind w:right="72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(Autor 3 – email – IES) </w:t>
      </w:r>
    </w:p>
    <w:p w:rsidR="00CF2865" w:rsidRDefault="005B5F18">
      <w:pPr>
        <w:widowControl w:val="0"/>
        <w:spacing w:before="131" w:after="0" w:line="240" w:lineRule="auto"/>
        <w:ind w:right="72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(Autor 4 – email – IES) </w:t>
      </w:r>
    </w:p>
    <w:p w:rsidR="00CF2865" w:rsidRDefault="005B5F18">
      <w:pPr>
        <w:widowControl w:val="0"/>
        <w:spacing w:before="548" w:after="0" w:line="229" w:lineRule="auto"/>
        <w:ind w:left="20" w:right="668"/>
        <w:jc w:val="both"/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INTRODUÇÃO (OU OUTRO SUBTÍTULO RELACIONADO) </w:t>
      </w:r>
      <w:r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  <w:t xml:space="preserve">Fonte Times  New Roman 12, negrito, justificado, espaçamento simples, entrelinhas: antes 0 pt,  depois 6 pt </w:t>
      </w:r>
    </w:p>
    <w:p w:rsidR="00CF2865" w:rsidRDefault="005B5F18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template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possui as orientações e as diretrizes de formatação para elaboração de um capítulo de livro. Recomenda-se que o autor faça uma cópia desse arquivo e edite seu capítulo diretamente no arquivo copiado, assim manterá todas as formatações requeridas, bem como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 o autor siga as instruções aqui fornecidas.  </w:t>
      </w:r>
    </w:p>
    <w:p w:rsidR="00CF2865" w:rsidRDefault="005B5F18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Nesta seção, o autor deverá contextualizar o que irá abordar em seu capítulo,  compartilhando uma prévia do que irá escrever, além dos objetivos e da organização de seu texto, apresentando um panorama sob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o tema. </w:t>
      </w: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 xml:space="preserve">Fonte Times New Roman 12, justificado, espaçamento 1,5, entrelinhas: antes  0pt, depois 0pt </w:t>
      </w:r>
    </w:p>
    <w:p w:rsidR="00CF2865" w:rsidRDefault="005B5F18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Nesta e nas demais seções do capítulo, ao utilizar elementos especiais como quadros, tabelas, figuras, equações e grifos, empregar as respectivas format</w:t>
      </w:r>
      <w:r>
        <w:rPr>
          <w:rFonts w:ascii="Times New Roman" w:eastAsia="Times New Roman" w:hAnsi="Times New Roman" w:cs="Times New Roman"/>
          <w:sz w:val="24"/>
          <w:szCs w:val="24"/>
        </w:rPr>
        <w:t>ações descritas a seguir.</w:t>
      </w:r>
    </w:p>
    <w:p w:rsidR="00CF2865" w:rsidRDefault="005B5F18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tabelas e os quadros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devem ser chamados pela sua numeração no corpo do texto e não como “a tabela/o quadro abaixo". Utilizar a seguinte formatação descrita em Quadro ou Tabela 1.  </w:t>
      </w:r>
    </w:p>
    <w:p w:rsidR="00CF2865" w:rsidRDefault="00CF2865">
      <w:pPr>
        <w:widowControl w:val="0"/>
        <w:spacing w:before="442" w:after="0" w:line="231" w:lineRule="auto"/>
        <w:ind w:left="217" w:right="92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F2865" w:rsidRDefault="00CF2865">
      <w:pPr>
        <w:widowControl w:val="0"/>
        <w:spacing w:before="442" w:after="0" w:line="231" w:lineRule="auto"/>
        <w:ind w:left="217" w:right="92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F2865" w:rsidRDefault="005B5F18">
      <w:pPr>
        <w:widowControl w:val="0"/>
        <w:spacing w:before="442" w:after="0" w:line="231" w:lineRule="auto"/>
        <w:ind w:left="217" w:right="922"/>
        <w:jc w:val="center"/>
        <w:rPr>
          <w:rFonts w:ascii="Times New Roman" w:eastAsia="Times New Roman" w:hAnsi="Times New Roman" w:cs="Times New Roman"/>
          <w:color w:val="A6A6A6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Quadro ou Tabela 1 – Legenda do quadro ou tabela deve seguir este modelo, sempre citando no texto </w:t>
      </w:r>
      <w:r>
        <w:rPr>
          <w:rFonts w:ascii="Times New Roman" w:eastAsia="Times New Roman" w:hAnsi="Times New Roman" w:cs="Times New Roman"/>
          <w:color w:val="A6A6A6"/>
          <w:sz w:val="20"/>
          <w:szCs w:val="20"/>
        </w:rPr>
        <w:t xml:space="preserve">Fonte Times New Roman 10, centralizado, espaçamento simples, entrelinhas: antes 0pt, depois 6pt </w:t>
      </w:r>
    </w:p>
    <w:p w:rsidR="00CF2865" w:rsidRDefault="00CF2865">
      <w:pPr>
        <w:spacing w:after="0"/>
        <w:ind w:left="709"/>
        <w:rPr>
          <w:rFonts w:ascii="Arial" w:eastAsia="Arial" w:hAnsi="Arial" w:cs="Arial"/>
          <w:b/>
          <w:i/>
          <w:color w:val="767171"/>
          <w:sz w:val="18"/>
          <w:szCs w:val="18"/>
        </w:rPr>
      </w:pPr>
    </w:p>
    <w:sdt>
      <w:sdtPr>
        <w:rPr>
          <w:rFonts w:ascii="Calibri" w:eastAsia="Calibri" w:hAnsi="Calibri" w:cs="Calibri"/>
          <w:sz w:val="22"/>
          <w:szCs w:val="22"/>
        </w:rPr>
        <w:tag w:val="goog_rdk_0"/>
        <w:id w:val="915980157"/>
        <w:lock w:val="contentLocked"/>
      </w:sdtPr>
      <w:sdtEndPr>
        <w:rPr>
          <w:b w:val="0"/>
          <w:color w:val="auto"/>
        </w:rPr>
      </w:sdtEndPr>
      <w:sdtContent>
        <w:tbl>
          <w:tblPr>
            <w:tblStyle w:val="a0"/>
            <w:tblW w:w="8505" w:type="dxa"/>
            <w:tblInd w:w="0" w:type="dxa"/>
            <w:tbl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  <w:insideH w:val="single" w:sz="4" w:space="0" w:color="BFBFBF"/>
              <w:insideV w:val="single" w:sz="4" w:space="0" w:color="BFBFBF"/>
            </w:tblBorders>
            <w:tblLayout w:type="fixed"/>
            <w:tblLook w:val="04A0" w:firstRow="1" w:lastRow="0" w:firstColumn="1" w:lastColumn="0" w:noHBand="0" w:noVBand="1"/>
          </w:tblPr>
          <w:tblGrid>
            <w:gridCol w:w="1701"/>
            <w:gridCol w:w="3402"/>
            <w:gridCol w:w="3402"/>
          </w:tblGrid>
          <w:tr w:rsidR="00CF2865" w:rsidTr="00CF2865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19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701" w:type="dxa"/>
              </w:tcPr>
              <w:p w:rsidR="00CF2865" w:rsidRDefault="005B5F18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Subtítulo 1</w:t>
                </w:r>
              </w:p>
            </w:tc>
            <w:tc>
              <w:tcPr>
                <w:tcW w:w="3402" w:type="dxa"/>
              </w:tcPr>
              <w:p w:rsidR="00CF2865" w:rsidRDefault="005B5F18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Subtítulo 2</w:t>
                </w:r>
              </w:p>
            </w:tc>
            <w:tc>
              <w:tcPr>
                <w:tcW w:w="3402" w:type="dxa"/>
              </w:tcPr>
              <w:p w:rsidR="00CF2865" w:rsidRDefault="005B5F18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Subtítulo 3</w:t>
                </w:r>
              </w:p>
            </w:tc>
          </w:tr>
          <w:tr w:rsidR="00CF2865" w:rsidTr="00CF2865">
            <w:trPr>
              <w:trHeight w:val="22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701" w:type="dxa"/>
              </w:tcPr>
              <w:p w:rsidR="00CF2865" w:rsidRDefault="005B5F18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Linha 1</w:t>
                </w:r>
              </w:p>
            </w:tc>
            <w:tc>
              <w:tcPr>
                <w:tcW w:w="3402" w:type="dxa"/>
              </w:tcPr>
              <w:p w:rsidR="00CF2865" w:rsidRDefault="005B5F1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Texto da tabela</w:t>
                </w:r>
              </w:p>
            </w:tc>
            <w:tc>
              <w:tcPr>
                <w:tcW w:w="3402" w:type="dxa"/>
              </w:tcPr>
              <w:p w:rsidR="00CF2865" w:rsidRDefault="005B5F1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Texto da tabela</w:t>
                </w:r>
              </w:p>
            </w:tc>
          </w:tr>
          <w:tr w:rsidR="00CF2865" w:rsidTr="00CF2865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trHeight w:val="22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701" w:type="dxa"/>
              </w:tcPr>
              <w:p w:rsidR="00CF2865" w:rsidRDefault="005B5F18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Linha 2</w:t>
                </w:r>
              </w:p>
            </w:tc>
            <w:tc>
              <w:tcPr>
                <w:tcW w:w="3402" w:type="dxa"/>
              </w:tcPr>
              <w:p w:rsidR="00CF2865" w:rsidRDefault="005B5F18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Texto da tabela</w:t>
                </w:r>
              </w:p>
            </w:tc>
            <w:tc>
              <w:tcPr>
                <w:tcW w:w="3402" w:type="dxa"/>
              </w:tcPr>
              <w:p w:rsidR="00CF2865" w:rsidRDefault="005B5F18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Texto da tabela</w:t>
                </w:r>
              </w:p>
            </w:tc>
          </w:tr>
          <w:tr w:rsidR="00CF2865" w:rsidTr="00CF2865">
            <w:trPr>
              <w:trHeight w:val="22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701" w:type="dxa"/>
              </w:tcPr>
              <w:p w:rsidR="00CF2865" w:rsidRDefault="005B5F18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Linha 3</w:t>
                </w:r>
              </w:p>
            </w:tc>
            <w:tc>
              <w:tcPr>
                <w:tcW w:w="3402" w:type="dxa"/>
              </w:tcPr>
              <w:p w:rsidR="00CF2865" w:rsidRDefault="005B5F1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Texto da tabela</w:t>
                </w:r>
              </w:p>
            </w:tc>
            <w:tc>
              <w:tcPr>
                <w:tcW w:w="3402" w:type="dxa"/>
              </w:tcPr>
              <w:p w:rsidR="00CF2865" w:rsidRDefault="005B5F1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Texto da tabela</w:t>
                </w:r>
              </w:p>
            </w:tc>
          </w:tr>
        </w:tbl>
      </w:sdtContent>
    </w:sdt>
    <w:p w:rsidR="00CF2865" w:rsidRDefault="005B5F18">
      <w:pPr>
        <w:widowControl w:val="0"/>
        <w:spacing w:before="300" w:after="0" w:line="231" w:lineRule="auto"/>
        <w:ind w:right="842"/>
        <w:rPr>
          <w:rFonts w:ascii="Times New Roman" w:eastAsia="Times New Roman" w:hAnsi="Times New Roman" w:cs="Times New Roman"/>
          <w:color w:val="A6A6A6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Fonte: elaboração própria, OU endereço eletrônico do quadro/tabela, OU Autor, ano, p. número </w:t>
      </w:r>
      <w:r>
        <w:rPr>
          <w:rFonts w:ascii="Times New Roman" w:eastAsia="Times New Roman" w:hAnsi="Times New Roman" w:cs="Times New Roman"/>
          <w:color w:val="A6A6A6"/>
          <w:sz w:val="20"/>
          <w:szCs w:val="20"/>
        </w:rPr>
        <w:t>Fonte  Times New Roman 10, centralizado, espaçamento simples, entrelinhas: antes 6pt, depois 6pt</w:t>
      </w:r>
    </w:p>
    <w:p w:rsidR="00CF2865" w:rsidRDefault="00CF2865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figuras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devem ser numeradas sequencialmente a partir do número 1 e devem ser chamadas pela sua numeração no corpo do texto e não como “a figura abaixo”. 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títulos das figuras e a fonte devem ser apresentados como demonstra a Figura 1.</w:t>
      </w:r>
    </w:p>
    <w:p w:rsidR="00CF2865" w:rsidRDefault="005B5F18">
      <w:pPr>
        <w:widowControl w:val="0"/>
        <w:spacing w:before="439" w:after="0" w:line="230" w:lineRule="auto"/>
        <w:ind w:left="443" w:right="1099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114300" distB="114300" distL="114300" distR="114300">
            <wp:extent cx="4382453" cy="2898447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2453" cy="2898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F2865" w:rsidRDefault="005B5F18">
      <w:pPr>
        <w:widowControl w:val="0"/>
        <w:spacing w:after="0" w:line="240" w:lineRule="auto"/>
        <w:ind w:left="443" w:right="109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Figura 1 – Legenda da figura, gráfico, mapa ou  foto</w:t>
      </w:r>
      <w:r>
        <w:rPr>
          <w:rFonts w:ascii="Times New Roman" w:eastAsia="Times New Roman" w:hAnsi="Times New Roman" w:cs="Times New Roman"/>
          <w:sz w:val="20"/>
          <w:szCs w:val="20"/>
        </w:rPr>
        <w:t>, sempre citando no texto.</w:t>
      </w:r>
    </w:p>
    <w:p w:rsidR="00CF2865" w:rsidRDefault="005B5F18">
      <w:pPr>
        <w:widowControl w:val="0"/>
        <w:spacing w:after="0" w:line="240" w:lineRule="auto"/>
        <w:ind w:left="443" w:right="10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Fonte: arquivo pessoal, OU endereço eletrônico, OU Autor, ano, p. número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A6A6A6"/>
          <w:sz w:val="21"/>
          <w:szCs w:val="21"/>
        </w:rPr>
        <w:t>Fonte Times New Roman 10,  centralizado, espaçamento simples, entrelinhas: antes 0pt, depois 6pt</w:t>
      </w:r>
    </w:p>
    <w:p w:rsidR="00CF2865" w:rsidRDefault="00CF2865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a edição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equações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autor deve utilizar o editor de equações do Microsoft Word (clique em Painel Inserir &gt; Equações). Um exemplo de equação contendo s</w:t>
      </w:r>
      <w:r>
        <w:rPr>
          <w:rFonts w:ascii="Times New Roman" w:eastAsia="Times New Roman" w:hAnsi="Times New Roman" w:cs="Times New Roman"/>
          <w:sz w:val="24"/>
          <w:szCs w:val="24"/>
        </w:rPr>
        <w:t>ímbolos matemáticos é a expressão:</w:t>
      </w:r>
    </w:p>
    <w:p w:rsidR="00CF2865" w:rsidRDefault="00CF2865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before="126" w:after="0" w:line="345" w:lineRule="auto"/>
        <w:ind w:left="22" w:right="672" w:firstLine="5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"/>
          <w:id w:val="1982348119"/>
        </w:sdtPr>
        <w:sdtEndPr/>
        <w:sdtContent>
          <w:r>
            <w:rPr>
              <w:rFonts w:ascii="Cardo" w:eastAsia="Cardo" w:hAnsi="Cardo" w:cs="Cardo"/>
              <w:sz w:val="24"/>
              <w:szCs w:val="24"/>
            </w:rPr>
            <w:t xml:space="preserve">(res  λ p)()= |[var l λ p[\l];  ≔ l]| </w:t>
          </w:r>
          <w:r>
            <w:rPr>
              <w:rFonts w:ascii="Cardo" w:eastAsia="Cardo" w:hAnsi="Cardo" w:cs="Cardo"/>
              <w:sz w:val="24"/>
              <w:szCs w:val="24"/>
            </w:rPr>
            <w:tab/>
          </w:r>
          <w:r>
            <w:rPr>
              <w:rFonts w:ascii="Cardo" w:eastAsia="Cardo" w:hAnsi="Cardo" w:cs="Cardo"/>
              <w:sz w:val="24"/>
              <w:szCs w:val="24"/>
            </w:rPr>
            <w:tab/>
            <w:t xml:space="preserve">(1) </w:t>
          </w:r>
        </w:sdtContent>
      </w:sdt>
    </w:p>
    <w:p w:rsidR="00CF2865" w:rsidRDefault="005B5F18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6A6A6"/>
          <w:sz w:val="20"/>
          <w:szCs w:val="20"/>
        </w:rPr>
        <w:lastRenderedPageBreak/>
        <w:t xml:space="preserve">Fonte Times New Roman 12, centralizado, espaçamento simples, entrelinhas: antes 0pt, depois 6pt. </w:t>
      </w:r>
    </w:p>
    <w:p w:rsidR="00CF2865" w:rsidRDefault="005B5F18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autor deve numerar as fórmulas, conforme o modelo acima, para indicá-las </w:t>
      </w:r>
      <w:r>
        <w:rPr>
          <w:rFonts w:ascii="Times New Roman" w:eastAsia="Times New Roman" w:hAnsi="Times New Roman" w:cs="Times New Roman"/>
          <w:sz w:val="24"/>
          <w:szCs w:val="24"/>
        </w:rPr>
        <w:t>no texto, por exemplo: “Conforme a Equação 1”.</w:t>
      </w:r>
    </w:p>
    <w:p w:rsidR="00CF2865" w:rsidRDefault="005B5F18">
      <w:pPr>
        <w:widowControl w:val="0"/>
        <w:spacing w:before="126" w:after="0" w:line="345" w:lineRule="auto"/>
        <w:ind w:left="22" w:right="672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a inserção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grifos,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seja para as palavras estrangeiras, para as ênfases ou para os elementos de grifo obrigatório segundo os padrões de normatização adotados, utilizar sempre itálico, e não negrito.</w:t>
      </w:r>
    </w:p>
    <w:p w:rsidR="00CF2865" w:rsidRDefault="005B5F18">
      <w:pPr>
        <w:widowControl w:val="0"/>
        <w:spacing w:before="517" w:after="0" w:line="229" w:lineRule="auto"/>
        <w:ind w:left="22" w:right="674"/>
        <w:jc w:val="both"/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SUBTÍTULO (NOMEAR COMO CONSIDERAR PERTINENTE PARA O  TEXTO EM QUESTÃO) </w:t>
      </w:r>
      <w:r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  <w:t xml:space="preserve">Fonte Times New Roman 12, negrito, justificado,  espaçamento simples, entrelinhas: antes 0pt, depois 6pt </w:t>
      </w:r>
    </w:p>
    <w:p w:rsidR="00CF2865" w:rsidRDefault="005B5F18">
      <w:pPr>
        <w:widowControl w:val="0"/>
        <w:spacing w:before="126" w:after="0" w:line="345" w:lineRule="auto"/>
        <w:ind w:left="19" w:right="670" w:firstLine="568"/>
        <w:jc w:val="both"/>
        <w:rPr>
          <w:rFonts w:ascii="Times New Roman" w:eastAsia="Times New Roman" w:hAnsi="Times New Roman" w:cs="Times New Roman"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Nesta seção, o autor deverá aprofundar seus referenciais teóricos, como  também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situar o leitor sobre o seu território de pesquisa e campo de reflexão. Caso necessário, faça uma subdivisão entre os temas que devem ser abordados e desenvolva um texto destacando os conceitos/temas. Nesta seção é importante desenvolver o capítulo. Elenq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ue as características, conceitos e definições que considere relevantes. </w:t>
      </w: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 xml:space="preserve">Fonte Times  New Roman 12, justificado, espaçamento 1,5, entrelinhas: antes 0pt, depois 0pt </w:t>
      </w:r>
    </w:p>
    <w:p w:rsidR="00CF2865" w:rsidRDefault="005B5F18">
      <w:pPr>
        <w:widowControl w:val="0"/>
        <w:spacing w:after="0" w:line="240" w:lineRule="auto"/>
        <w:ind w:left="2267" w:right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 autor deve utilizar a seguinte formatação para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citações com mais de 3 (três)   linhas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A6A6A6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color w:val="A6A6A6"/>
          <w:sz w:val="20"/>
          <w:szCs w:val="20"/>
        </w:rPr>
        <w:t>cuo de 4 cm à esquerda da margem, fonte Times New Roman 10, justificado   espaçamento simples, entrelinhas: antes 0pt, depois 6pt</w:t>
      </w:r>
      <w:r>
        <w:rPr>
          <w:rFonts w:ascii="Times New Roman" w:eastAsia="Times New Roman" w:hAnsi="Times New Roman" w:cs="Times New Roman"/>
          <w:sz w:val="20"/>
          <w:szCs w:val="20"/>
        </w:rPr>
        <w:t>. Não utilize nota de rodapé. A citação deve vir sem aspas e com referência de autor, conforme norma da ABNT NBR 10520/2023. (A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utor, ano, p. número). </w:t>
      </w:r>
    </w:p>
    <w:p w:rsidR="00CF2865" w:rsidRDefault="005B5F18">
      <w:pPr>
        <w:widowControl w:val="0"/>
        <w:spacing w:before="511" w:after="0" w:line="344" w:lineRule="auto"/>
        <w:ind w:left="20" w:right="668" w:firstLine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texto continua após ser antecedido por parágrafo com </w:t>
      </w: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>fonte Times New Roman  12, justificado, espaçamento 1,5, entrelinhas: antes 0pt, depois 0pt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conforme este modelo  de formatação.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Para citar autores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utilize as normas NBR 10520/2023 da ABNT. </w:t>
      </w:r>
    </w:p>
    <w:p w:rsidR="00CF2865" w:rsidRDefault="005B5F18">
      <w:pPr>
        <w:widowControl w:val="0"/>
        <w:spacing w:before="511" w:after="0" w:line="344" w:lineRule="auto"/>
        <w:ind w:left="20" w:right="668"/>
        <w:jc w:val="both"/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SUBTÍTULO (NOMEAR COMO CONSIDERAR PERTINENTE PARA O  TEXTO EM QUESTÃO) </w:t>
      </w:r>
      <w:r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  <w:t xml:space="preserve">Fonte Times New Roman 12, negrito, justificado,  espaçamento simples, entrelinhas: antes 0pt, depois 6pt </w:t>
      </w:r>
    </w:p>
    <w:p w:rsidR="00CF2865" w:rsidRDefault="005B5F18">
      <w:pPr>
        <w:widowControl w:val="0"/>
        <w:spacing w:before="126" w:after="0" w:line="344" w:lineRule="auto"/>
        <w:ind w:left="20" w:right="668" w:firstLine="567"/>
        <w:jc w:val="both"/>
        <w:rPr>
          <w:rFonts w:ascii="Times New Roman" w:eastAsia="Times New Roman" w:hAnsi="Times New Roman" w:cs="Times New Roman"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Nesta seção, o autor deverá compar</w:t>
      </w:r>
      <w:r>
        <w:rPr>
          <w:rFonts w:ascii="Times New Roman" w:eastAsia="Times New Roman" w:hAnsi="Times New Roman" w:cs="Times New Roman"/>
          <w:sz w:val="24"/>
          <w:szCs w:val="24"/>
        </w:rPr>
        <w:t>tilhar os aspectos teórico-metodológicos de seu capítulo, compartilhando a natureza de sua pesquisa/relato, os instrumentos de geração dos dados e o paradigma de análise no qual o seu trabalho se insere. Descrever locais, métodos, ferramentas e  sujeitos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pesquisa. Com isso, deve mostrar como o objetivo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designado na seção introdutória foi alcançado. </w:t>
      </w: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 xml:space="preserve">Fonte Times New Roman 12, justificado, espaçamento 1,5,  entrelinhas: antes 0pt, depois 0pt </w:t>
      </w:r>
    </w:p>
    <w:p w:rsidR="00CF2865" w:rsidRDefault="005B5F18">
      <w:pPr>
        <w:widowControl w:val="0"/>
        <w:spacing w:before="427" w:after="0" w:line="229" w:lineRule="auto"/>
        <w:ind w:left="22" w:right="674"/>
        <w:jc w:val="both"/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SUBTÍTULO (NOMEAR COMO CONSIDERAR PERTINENTE PARA O  TEXTO EM QUE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STÃO) </w:t>
      </w:r>
      <w:r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  <w:t xml:space="preserve">Fonte Times New Roman 14, negrito, justificado,  espaçamento simples, entrelinhas: antes 0pt, depois 6pt </w:t>
      </w:r>
    </w:p>
    <w:p w:rsidR="00CF2865" w:rsidRDefault="005B5F18">
      <w:pPr>
        <w:widowControl w:val="0"/>
        <w:spacing w:before="126" w:after="0" w:line="344" w:lineRule="auto"/>
        <w:ind w:left="23" w:right="668" w:firstLine="564"/>
        <w:jc w:val="both"/>
        <w:rPr>
          <w:rFonts w:ascii="Times New Roman" w:eastAsia="Times New Roman" w:hAnsi="Times New Roman" w:cs="Times New Roman"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Nesta seção, o autor deverá apresentar suas análises, reflexões e discussões à luz  dos referenciais teóricos usados, e confrontando com os resu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ltados obtidos. </w:t>
      </w: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 xml:space="preserve">Fonte Times New Roman 12, justificado, espaçamento  1,5, entrelinhas: antes 0pt, depois 0pt </w:t>
      </w:r>
    </w:p>
    <w:p w:rsidR="00CF2865" w:rsidRDefault="005B5F18">
      <w:pPr>
        <w:widowControl w:val="0"/>
        <w:spacing w:before="517" w:after="0" w:line="230" w:lineRule="auto"/>
        <w:ind w:left="20" w:right="670"/>
        <w:jc w:val="both"/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CONSIDERAÇÕES FINAIS (OU OUTRO SUBTÍTULO RELACIONADO) </w:t>
      </w:r>
      <w:r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  <w:t xml:space="preserve">Fonte Times New Roman 14, negrito, justificado, espaçamento simples, entrelinhas:  antes 0pt, depois 6pt </w:t>
      </w:r>
    </w:p>
    <w:p w:rsidR="00CF2865" w:rsidRDefault="005B5F18">
      <w:pPr>
        <w:widowControl w:val="0"/>
        <w:spacing w:before="125" w:after="0" w:line="344" w:lineRule="auto"/>
        <w:ind w:right="671" w:firstLine="587"/>
        <w:jc w:val="both"/>
        <w:rPr>
          <w:rFonts w:ascii="Times New Roman" w:eastAsia="Times New Roman" w:hAnsi="Times New Roman" w:cs="Times New Roman"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Nesta seção, o autor deve recuperar os objetivos de seu capítulo, exposto na seção  introdutória, e/ou compartilhar o desfecho de seu relato, mostrand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os desdobramentos  de suas análises e os encaminhamentos de suas reflexões para o tema abordado. O autor deve destacar a relevância e o diferencial de seu trabalho. </w:t>
      </w: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>Fonte Times New Roman 12,  justificado, espaçamento 1,5, entrelinhas: antes 0pt, depois 0</w:t>
      </w: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 xml:space="preserve">pt </w:t>
      </w:r>
    </w:p>
    <w:p w:rsidR="00CF2865" w:rsidRDefault="005B5F18">
      <w:pPr>
        <w:widowControl w:val="0"/>
        <w:spacing w:before="442" w:after="0" w:line="229" w:lineRule="auto"/>
        <w:ind w:left="21" w:right="671"/>
        <w:jc w:val="both"/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REFERÊNCIAS </w:t>
      </w:r>
      <w:r>
        <w:rPr>
          <w:rFonts w:ascii="Times New Roman" w:eastAsia="Times New Roman" w:hAnsi="Times New Roman" w:cs="Times New Roman"/>
          <w:b/>
          <w:color w:val="A6A6A6"/>
          <w:sz w:val="24"/>
          <w:szCs w:val="24"/>
        </w:rPr>
        <w:t xml:space="preserve">Fonte Times New Roman 12, negrito, justificado,  espaçamento simples, entrelinhas: antes 0pt, depois 6pt </w:t>
      </w:r>
    </w:p>
    <w:p w:rsidR="00CF2865" w:rsidRDefault="005B5F18">
      <w:pPr>
        <w:widowControl w:val="0"/>
        <w:spacing w:before="126" w:after="0" w:line="229" w:lineRule="auto"/>
        <w:ind w:left="17" w:right="676" w:firstLine="570"/>
        <w:jc w:val="both"/>
        <w:rPr>
          <w:rFonts w:ascii="Times New Roman" w:eastAsia="Times New Roman" w:hAnsi="Times New Roman" w:cs="Times New Roman"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referências devem ser grafadas no final do artigo em ordem alfabética de seus  elementos, de acordo com a NBR 6023:2018 da ABNT. Só devem compor as referências as fontes que tenham sido efetivamente citadas ao longo do texto. As fontes consultadas na  i</w:t>
      </w:r>
      <w:r>
        <w:rPr>
          <w:rFonts w:ascii="Times New Roman" w:eastAsia="Times New Roman" w:hAnsi="Times New Roman" w:cs="Times New Roman"/>
          <w:sz w:val="24"/>
          <w:szCs w:val="24"/>
        </w:rPr>
        <w:t>nternet devem informar link (Disponível em:) e data de acesso (Acesso em:). As  referências de artigos científicos, livros e demais trabalhos que tenham DOI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Digital  Object Identifier</w:t>
      </w:r>
      <w:r>
        <w:rPr>
          <w:rFonts w:ascii="Times New Roman" w:eastAsia="Times New Roman" w:hAnsi="Times New Roman" w:cs="Times New Roman"/>
          <w:sz w:val="24"/>
          <w:szCs w:val="24"/>
        </w:rPr>
        <w:t>) devem ser informados. Deixar um espaço simples entre as referências 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esta seção. Todos os autores de cada trabalho deverão ser listados na seção de referências  (não utilizar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nesta seção). </w:t>
      </w: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>Fonte Times New Roman 12, alinhado à esquerda,  espaçamento simples, entrelinhas: antes 0pt, depois 6pt</w:t>
      </w:r>
    </w:p>
    <w:p w:rsidR="00CF2865" w:rsidRDefault="005B5F18">
      <w:pPr>
        <w:widowControl w:val="0"/>
        <w:spacing w:before="126" w:after="0" w:line="229" w:lineRule="auto"/>
        <w:ind w:left="17" w:right="676" w:firstLine="570"/>
        <w:jc w:val="both"/>
        <w:rPr>
          <w:rFonts w:ascii="Times New Roman" w:eastAsia="Times New Roman" w:hAnsi="Times New Roman" w:cs="Times New Roman"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Seguem abaixo modelos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citação para cada tipo de documento, baseados na NBR 6023:2018 da ABNT. </w:t>
      </w:r>
    </w:p>
    <w:p w:rsidR="00CF2865" w:rsidRDefault="00CF2865">
      <w:pPr>
        <w:widowControl w:val="0"/>
        <w:spacing w:before="126" w:after="0" w:line="229" w:lineRule="auto"/>
        <w:ind w:left="17" w:right="676" w:firstLine="570"/>
        <w:jc w:val="both"/>
        <w:rPr>
          <w:rFonts w:ascii="Times New Roman" w:eastAsia="Times New Roman" w:hAnsi="Times New Roman" w:cs="Times New Roman"/>
          <w:color w:val="A6A6A6"/>
          <w:sz w:val="24"/>
          <w:szCs w:val="24"/>
        </w:rPr>
      </w:pPr>
    </w:p>
    <w:p w:rsidR="00CF2865" w:rsidRDefault="00CF2865">
      <w:pPr>
        <w:widowControl w:val="0"/>
        <w:spacing w:before="126" w:after="0" w:line="229" w:lineRule="auto"/>
        <w:ind w:left="17" w:right="676" w:firstLine="570"/>
        <w:jc w:val="both"/>
        <w:rPr>
          <w:rFonts w:ascii="Times New Roman" w:eastAsia="Times New Roman" w:hAnsi="Times New Roman" w:cs="Times New Roman"/>
          <w:color w:val="A6A6A6"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Livro</w:t>
      </w:r>
    </w:p>
    <w:p w:rsidR="00CF2865" w:rsidRDefault="00CF2865">
      <w:pPr>
        <w:widowControl w:val="0"/>
        <w:spacing w:after="0" w:line="240" w:lineRule="auto"/>
        <w:ind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after="0" w:line="229" w:lineRule="auto"/>
        <w:ind w:left="17" w:right="670" w:firstLine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SOBRENOME, N. (citar todos os autores).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Título do livro em negrito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subtítulo em  redondo. Nº da edição. Cidade: Editora, ano. </w:t>
      </w:r>
    </w:p>
    <w:p w:rsidR="00CF2865" w:rsidRDefault="005B5F18">
      <w:pPr>
        <w:widowControl w:val="0"/>
        <w:spacing w:before="281" w:after="0" w:line="240" w:lineRule="auto"/>
        <w:ind w:lef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LUCK, H.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Liderança em gestão escolar</w:t>
      </w:r>
      <w:r>
        <w:rPr>
          <w:rFonts w:ascii="Times New Roman" w:eastAsia="Times New Roman" w:hAnsi="Times New Roman" w:cs="Times New Roman"/>
          <w:sz w:val="24"/>
          <w:szCs w:val="24"/>
        </w:rPr>
        <w:t>. 4. ed.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etrópolis: Vozes, 2010. </w:t>
      </w:r>
    </w:p>
    <w:p w:rsidR="00CF2865" w:rsidRDefault="005B5F18">
      <w:pPr>
        <w:widowControl w:val="0"/>
        <w:spacing w:before="272" w:after="0" w:line="230" w:lineRule="auto"/>
        <w:ind w:left="43" w:right="671" w:hanging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BAUMAN, Z.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Globalização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as consequências humanas. Rio de Janeiro: Jorge Zahar,  1999. </w:t>
      </w:r>
    </w:p>
    <w:p w:rsidR="00CF2865" w:rsidRDefault="005B5F18">
      <w:pPr>
        <w:widowControl w:val="0"/>
        <w:spacing w:before="281" w:after="0" w:line="229" w:lineRule="auto"/>
        <w:ind w:left="20" w:right="672" w:firstLine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GOMES, A. C.; VECHI, C. 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Estética romântica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textos doutrinários comentados. São  Paulo: Atlas, 1992. </w:t>
      </w:r>
    </w:p>
    <w:p w:rsidR="00CF2865" w:rsidRDefault="00CF2865">
      <w:pPr>
        <w:widowControl w:val="0"/>
        <w:spacing w:before="281" w:after="0" w:line="229" w:lineRule="auto"/>
        <w:ind w:left="20" w:right="672" w:firstLine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Trabalho acadêmico</w:t>
      </w: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30" w:lineRule="auto"/>
        <w:ind w:left="20" w:right="672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SOBRENOME, N.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Título do trabalho em negrito</w:t>
      </w:r>
      <w:r>
        <w:rPr>
          <w:rFonts w:ascii="Times New Roman" w:eastAsia="Times New Roman" w:hAnsi="Times New Roman" w:cs="Times New Roman"/>
          <w:sz w:val="24"/>
          <w:szCs w:val="24"/>
        </w:rPr>
        <w:t>: subtítulo em redondo. Ano de defesa.  Tipo de trabalho (Curso e área) – Faculdade, Universidade, Cidade, ano de publicação.  Disponível em: endereço eletrônico. Acesso em: mês da publicação (três primeiras letras.  ex: jan.),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ano. </w:t>
      </w:r>
    </w:p>
    <w:p w:rsidR="00CF2865" w:rsidRDefault="005B5F18">
      <w:pPr>
        <w:widowControl w:val="0"/>
        <w:spacing w:before="282" w:after="0" w:line="229" w:lineRule="auto"/>
        <w:ind w:left="18" w:right="669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AGUIAR, A. 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Avaliação da microbiota bucal em pacientes sob uso crônico de  penicilina e benzatina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2009. Tese (Doutorado em Cardiologia) – Faculdade de  Medicina, Universidade de São Paulo, São Paulo, 2009. Disponível em: 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https://teses.usp.br/teses/disponiveis/5/5131/tde-24092009-171538/pt-br.php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 em: 11 fev. 2022. </w:t>
      </w:r>
    </w:p>
    <w:p w:rsidR="00CF2865" w:rsidRDefault="005B5F18">
      <w:pPr>
        <w:widowControl w:val="0"/>
        <w:spacing w:before="282" w:after="0" w:line="229" w:lineRule="auto"/>
        <w:ind w:left="18" w:right="670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OLIVEIRA, V. H. F.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Application speedup characterization</w:t>
      </w:r>
      <w:r>
        <w:rPr>
          <w:rFonts w:ascii="Times New Roman" w:eastAsia="Times New Roman" w:hAnsi="Times New Roman" w:cs="Times New Roman"/>
          <w:sz w:val="24"/>
          <w:szCs w:val="24"/>
        </w:rPr>
        <w:t>: modeling parallelization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overhead and variations of problem size and number of cores. 2019. Dissertação  (Mestrado em Engenharia Elétrica e de Computação) – Centro de Tecnologia,  Universidade Federal do Rio Grande do Norte, Natal, 2019. Disponível em: 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https://repositorio.ufrn.br/handle/123456789/28237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11 fev. 2022. </w:t>
      </w: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Livro/documento em meio eletrônico</w:t>
      </w:r>
    </w:p>
    <w:p w:rsidR="00CF2865" w:rsidRDefault="00CF2865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CF2865" w:rsidRDefault="005B5F18">
      <w:pPr>
        <w:widowControl w:val="0"/>
        <w:spacing w:after="0" w:line="230" w:lineRule="auto"/>
        <w:ind w:left="23" w:right="67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GODINHO, T.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Vida organizada</w:t>
      </w:r>
      <w:r>
        <w:rPr>
          <w:rFonts w:ascii="Times New Roman" w:eastAsia="Times New Roman" w:hAnsi="Times New Roman" w:cs="Times New Roman"/>
          <w:sz w:val="24"/>
          <w:szCs w:val="24"/>
        </w:rPr>
        <w:t>: como definir prioridades e transformar seus sonhos em  objetivos. Sã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Paulo: Gente, 2014.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E-book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F2865" w:rsidRDefault="00CF2865">
      <w:pPr>
        <w:widowControl w:val="0"/>
        <w:spacing w:after="0" w:line="230" w:lineRule="auto"/>
        <w:ind w:left="23" w:right="6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CF2865">
      <w:pPr>
        <w:widowControl w:val="0"/>
        <w:spacing w:after="0" w:line="230" w:lineRule="auto"/>
        <w:ind w:left="23" w:right="6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after="0" w:line="230" w:lineRule="auto"/>
        <w:ind w:left="23" w:right="673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Livro/documento disponível online</w:t>
      </w:r>
    </w:p>
    <w:p w:rsidR="00CF2865" w:rsidRDefault="00CF2865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CF2865" w:rsidRDefault="005B5F18">
      <w:pPr>
        <w:widowControl w:val="0"/>
        <w:spacing w:after="0" w:line="230" w:lineRule="auto"/>
        <w:ind w:left="18" w:right="673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ALVES, 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Navio negreiro</w:t>
      </w:r>
      <w:r>
        <w:rPr>
          <w:rFonts w:ascii="Times New Roman" w:eastAsia="Times New Roman" w:hAnsi="Times New Roman" w:cs="Times New Roman"/>
          <w:sz w:val="24"/>
          <w:szCs w:val="24"/>
        </w:rPr>
        <w:t>. [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S. 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]: Virtual Books, 2000. Disponível em:  http://www.terra.com.br/virtualbooks/freebook/port/Lport2/navionegreiro.htm. Acesso  em: 11 jan. 2002. </w:t>
      </w:r>
    </w:p>
    <w:p w:rsidR="00CF2865" w:rsidRDefault="005B5F18">
      <w:pPr>
        <w:widowControl w:val="0"/>
        <w:spacing w:before="281" w:after="0" w:line="229" w:lineRule="auto"/>
        <w:ind w:left="18" w:right="668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BAVARESCO, A.; BARBOSA, E.; ETCHEVERRY, K. M. (org.).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Projetos de filosofia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Porto Alegre: EDIPUCRS, 2011.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E-book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Disponível em:  http://ebooks.pucrs.br/edipucrs/projetosdefilosofia.pdf. Acesso em: 11 ago. 2011. </w:t>
      </w:r>
    </w:p>
    <w:p w:rsidR="00CF2865" w:rsidRDefault="005B5F18">
      <w:pPr>
        <w:widowControl w:val="0"/>
        <w:spacing w:before="282" w:after="0" w:line="230" w:lineRule="auto"/>
        <w:ind w:left="19" w:right="674" w:firstLine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COELHO, A. 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Fatores determinantes de qu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alidade de vida física e mental em  pacientes com doença pulmonar intersticial</w:t>
      </w:r>
      <w:r>
        <w:rPr>
          <w:rFonts w:ascii="Times New Roman" w:eastAsia="Times New Roman" w:hAnsi="Times New Roman" w:cs="Times New Roman"/>
          <w:sz w:val="24"/>
          <w:szCs w:val="24"/>
        </w:rPr>
        <w:t>: uma análise multifatorial. 2009.  Dissertação (Mestrado em Ciências Médicas) – Faculdade de Medicina, Universidade  Federal do Rio Grande do Sul, Porto Alegre, 2009. Disponível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em:</w:t>
      </w: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http://www.lume.ufrgs.br/bitstream/handle/10183/16359/000695147.pdf?sequence=1.  Acesso em: 11 set. 2009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F2865" w:rsidRDefault="005B5F18">
      <w:pPr>
        <w:widowControl w:val="0"/>
        <w:spacing w:before="281" w:after="0" w:line="229" w:lineRule="auto"/>
        <w:ind w:left="18" w:right="673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CONSOLI, R. A. G. B.; OLIVEIRA, R. L.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Principai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 mosquitos de importância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sanitária no Brasil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Rio de Janeiro: Editora Fiocruz, 1994. Disponível em:  http://www.fiocruz.br/editora/media/05-PMISB.pdf. Acesso em: 11 set. 2009. </w:t>
      </w:r>
    </w:p>
    <w:p w:rsidR="00CF2865" w:rsidRDefault="005B5F18">
      <w:pPr>
        <w:widowControl w:val="0"/>
        <w:spacing w:before="282" w:after="0" w:line="229" w:lineRule="auto"/>
        <w:ind w:left="18" w:right="672"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SAYERS, 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Principles of awareness-raising</w:t>
      </w:r>
      <w:r>
        <w:rPr>
          <w:rFonts w:ascii="Times New Roman" w:eastAsia="Times New Roman" w:hAnsi="Times New Roman" w:cs="Times New Roman"/>
          <w:sz w:val="24"/>
          <w:szCs w:val="24"/>
        </w:rPr>
        <w:t>: for information literacy, a case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study.  Bangkok: UNESCO Bangkok, 2006. Disponível em:  </w:t>
      </w:r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http://portal.unesco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.org/ci/en/files/22439/11510733461Principles_of_AwarenessRaising_19th_April_06.pdf/Principles%2Bof%2BAwareness_Raising_19th%2BApril%2B06.pdf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11 abr. 2010. </w:t>
      </w:r>
    </w:p>
    <w:p w:rsidR="00CF2865" w:rsidRDefault="00CF2865">
      <w:pPr>
        <w:widowControl w:val="0"/>
        <w:spacing w:before="6" w:after="0" w:line="229" w:lineRule="auto"/>
        <w:ind w:left="23" w:right="792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Capítulo, fragmento, volume, parte de livro/documento/artigo</w:t>
      </w: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29" w:lineRule="auto"/>
        <w:ind w:left="17" w:right="671" w:firstLine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SOBRENOME, Nome do autor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abreviado (citar todos os autores). Título do capítulo em  redondo: subtítulo em redondo.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SOBRENOME, Nome do organizador abreviado  (citar todos os organizadores) (org.)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Título do livro em negrito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subtítulo em redondo.  Nº da edição. Cidade: Editora,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ano. p. xx-xx. (e/ou capítulo, volume, etc.) </w:t>
      </w:r>
    </w:p>
    <w:p w:rsidR="00CF2865" w:rsidRDefault="005B5F18">
      <w:pPr>
        <w:widowControl w:val="0"/>
        <w:spacing w:before="557" w:after="0" w:line="230" w:lineRule="auto"/>
        <w:ind w:left="17" w:right="67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ROMANO, G. Imagens da juventude na era moderna.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LEVI, G.; SCHMIDT, J. (org.).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História dos jovens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 época contemporânea. São Paulo: Companhia das Letras, 1996.  p. 7-16. </w:t>
      </w:r>
    </w:p>
    <w:p w:rsidR="00CF2865" w:rsidRDefault="005B5F18">
      <w:pPr>
        <w:widowControl w:val="0"/>
        <w:spacing w:before="281" w:after="0" w:line="229" w:lineRule="auto"/>
        <w:ind w:left="18" w:right="669" w:firstLine="7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SANTOS, F. R. A colonização da terra do Tucujús.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SANTOS, F. 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História do  Amapá, 1º grau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2. ed. Macapá: Valcan, 1994. p. 15-24. </w:t>
      </w:r>
    </w:p>
    <w:p w:rsidR="00CF2865" w:rsidRDefault="00CF2865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CF2865" w:rsidRDefault="005B5F18">
      <w:pPr>
        <w:widowControl w:val="0"/>
        <w:spacing w:after="0" w:line="229" w:lineRule="auto"/>
        <w:ind w:right="39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Capítulo, fragmento, volume, parte de livro/documento/artigo em meio eletrônico e  disponíveis online</w:t>
      </w:r>
    </w:p>
    <w:p w:rsidR="00CF2865" w:rsidRDefault="00CF2865">
      <w:pPr>
        <w:widowControl w:val="0"/>
        <w:spacing w:after="0" w:line="229" w:lineRule="auto"/>
        <w:ind w:right="39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29" w:lineRule="auto"/>
        <w:ind w:left="18" w:right="669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INCA – INSTITUTO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NACIONAL DO CÂNCER (Brasil). Estômago.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INSTITUTO  NACIONAL DO CÂNCER (Brasil).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Tipos de câncer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[Brasília, DF]: Instituto Nacional  do Câncer, 2010. Disponível em:  </w:t>
      </w:r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http://www2.inca.gov.br/wps/wcm/connect/tiposdecancer/site/home/estomago/definicao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11 mar. 2010. </w:t>
      </w:r>
    </w:p>
    <w:p w:rsidR="00CF2865" w:rsidRDefault="005B5F18">
      <w:pPr>
        <w:widowControl w:val="0"/>
        <w:spacing w:before="272" w:after="0" w:line="229" w:lineRule="auto"/>
        <w:ind w:left="43" w:right="678" w:hanging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POLÍTICA.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DICIONÁRIO da língua portuguesa. Lisboa: Priberam Informática,  1998. Disponível em: </w:t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http://www.priberam.pt/dlDLPO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11 mar. 1999. </w:t>
      </w: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Artigo, seção e/ou matéria de publicação periódica</w:t>
      </w: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29" w:lineRule="auto"/>
        <w:ind w:left="18" w:right="668"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SOBRENOME, N. (citar todos os autores). Título do artigo: subtítulo.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Nome do  periódico em negrito por extenso (não abreviado)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Cidade do periódico (quando  houver), v. ou ano, n. xx, p. xx-xx, ano de publicação.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DOI (se houver) OU endereço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eletrônico e data de acesso. Sempre que houver DOI, este deve ser informado.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2865" w:rsidRDefault="005B5F18">
      <w:pPr>
        <w:widowControl w:val="0"/>
        <w:spacing w:before="282" w:after="0" w:line="229" w:lineRule="auto"/>
        <w:ind w:left="24" w:right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GODOY, R. B.; BRITO, M. A. G.; GARCIA, R. C.; KIMPARA, M. L. M.; PINTO, J.  O. P. Integrated starter alternator PMSM drive for hybrid vehicles.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Journal of Control, Automation and Electrical Systems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v. 32, n. 1, p. 165-174, 2021. DOI:  </w:t>
      </w:r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https://doi.org/10.1007/s40313-020-00665-x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F2865" w:rsidRDefault="005B5F18">
      <w:pPr>
        <w:widowControl w:val="0"/>
        <w:spacing w:before="281" w:after="0" w:line="230" w:lineRule="auto"/>
        <w:ind w:left="18"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JARDIM, A. RENOVABIO: revolução econômica e socioambiental.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Agroanalysis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v.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37, n. 12, p. 48, dez. 2017. Disponível em: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http://bibliotecadigital.fgv.br/ojs/index.php/agroanalysis/article/view/76577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Acesso em: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11 mai. 2020.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2865" w:rsidRDefault="005B5F18">
      <w:pPr>
        <w:widowControl w:val="0"/>
        <w:spacing w:before="281"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RIBEIRO, D. O. Os empregos estão de volta.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Você S.A.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ed. 147, p. 60-61, 11 set. 2010.  </w:t>
      </w:r>
    </w:p>
    <w:p w:rsidR="00CF2865" w:rsidRDefault="005B5F18">
      <w:pPr>
        <w:widowControl w:val="0"/>
        <w:spacing w:before="271" w:after="0" w:line="229" w:lineRule="auto"/>
        <w:ind w:left="20" w:right="674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SILVA, 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 L. Crimes da era digital.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Rio de Janeiro, 1998. Seção Ponto de Vista.  Disponível em: </w:t>
      </w:r>
      <w:hyperlink r:id="rId1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http://www.brazilnet.com.br/contexts/brasilrevistas.htm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 nov. 1998. </w:t>
      </w:r>
    </w:p>
    <w:p w:rsidR="00CF2865" w:rsidRDefault="005B5F18">
      <w:pPr>
        <w:widowControl w:val="0"/>
        <w:spacing w:before="282" w:after="0" w:line="230" w:lineRule="auto"/>
        <w:ind w:left="23" w:right="678" w:hanging="5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2"/>
          <w:id w:val="-1028021760"/>
        </w:sdtPr>
        <w:sdtEndPr/>
        <w:sdtContent>
          <w:r>
            <w:rPr>
              <w:rFonts w:ascii="Gungsuh" w:eastAsia="Gungsuh" w:hAnsi="Gungsuh" w:cs="Gungsuh"/>
              <w:sz w:val="24"/>
              <w:szCs w:val="24"/>
            </w:rPr>
            <w:t>TLILI</w:t>
          </w:r>
          <w:r>
            <w:rPr>
              <w:rFonts w:ascii="Gungsuh" w:eastAsia="Gungsuh" w:hAnsi="Gungsuh" w:cs="Gungsuh"/>
              <w:sz w:val="24"/>
              <w:szCs w:val="24"/>
            </w:rPr>
            <w:t xml:space="preserve">, A. S. H∞ optimization-based stabilization for nonlinear disturbed time delay  systems. </w:t>
          </w:r>
        </w:sdtContent>
      </w:sdt>
      <w:r>
        <w:rPr>
          <w:rFonts w:ascii="Times New Roman" w:eastAsia="Times New Roman" w:hAnsi="Times New Roman" w:cs="Times New Roman"/>
          <w:b/>
          <w:sz w:val="24"/>
          <w:szCs w:val="24"/>
        </w:rPr>
        <w:t>Journal of Control, Automation and Electrical Systems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v. 32, n. 1, p. 96- 108, 2021. DOI: </w:t>
      </w:r>
      <w:hyperlink r:id="rId1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https://doi.org/10.1007/s40313-020-00661-1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F2865" w:rsidRDefault="00CF2865">
      <w:pPr>
        <w:widowControl w:val="0"/>
        <w:spacing w:before="282" w:after="0" w:line="230" w:lineRule="auto"/>
        <w:ind w:left="23" w:right="678" w:hanging="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before="282" w:after="0" w:line="230" w:lineRule="auto"/>
        <w:ind w:left="23" w:right="678" w:hanging="5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Artigo e/ou matéria de jornal</w:t>
      </w:r>
    </w:p>
    <w:p w:rsidR="00CF2865" w:rsidRDefault="00CF2865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CF2865" w:rsidRDefault="005B5F18">
      <w:pPr>
        <w:widowControl w:val="0"/>
        <w:spacing w:after="0" w:line="229" w:lineRule="auto"/>
        <w:ind w:left="23" w:right="6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CRÉDITO à agropecuária será de R$ 156 bilhões até 2015.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Jornal do Commercio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Rio  de Janeiro, ano 97, n. 156, p. A3, 20 maio 2014. </w:t>
      </w:r>
    </w:p>
    <w:p w:rsidR="00CF2865" w:rsidRDefault="005B5F18">
      <w:pPr>
        <w:widowControl w:val="0"/>
        <w:spacing w:before="282" w:after="0" w:line="229" w:lineRule="auto"/>
        <w:ind w:left="17" w:right="674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OTTA, L. A. Parcela do tesouro nos empréstimos do BNDES cresce 566% em oito anos.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 Estado de S. Paulo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São Paulo, ano 131, n. 42656, 1 ago. 2010. Economia &amp; Negócios,  p. B1. </w:t>
      </w:r>
    </w:p>
    <w:p w:rsidR="00CF2865" w:rsidRDefault="00CF2865">
      <w:pPr>
        <w:widowControl w:val="0"/>
        <w:spacing w:before="282" w:after="0" w:line="229" w:lineRule="auto"/>
        <w:ind w:left="17" w:right="674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Artigo e/ou matéria de jornal em meio eletrônico</w:t>
      </w: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30" w:lineRule="auto"/>
        <w:ind w:left="18" w:right="670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PROFESSORES terão exame par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ingressar na carreira.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Diário do Vale,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Volta Redonda,  v. 18, n. 5877, 27 maio 2010. Caderno Educação, p. 41. Disponível em:  </w:t>
      </w:r>
      <w:hyperlink r:id="rId1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http://www.bancadigital.com.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br/diariodovale/reader2/Default.aspx?pID=1&amp;eID=495&amp;l P=38&amp;rP=39&amp;lT=page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11 set. 2010. </w:t>
      </w:r>
    </w:p>
    <w:p w:rsidR="00CF2865" w:rsidRDefault="005B5F18">
      <w:pPr>
        <w:widowControl w:val="0"/>
        <w:spacing w:before="282" w:after="0" w:line="229" w:lineRule="auto"/>
        <w:ind w:left="17" w:right="671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VERÍSSIMO, L. F. Um gosto pela ironia.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Zero Hora</w:t>
      </w:r>
      <w:r>
        <w:rPr>
          <w:rFonts w:ascii="Times New Roman" w:eastAsia="Times New Roman" w:hAnsi="Times New Roman" w:cs="Times New Roman"/>
          <w:sz w:val="24"/>
          <w:szCs w:val="24"/>
        </w:rPr>
        <w:t>, Porto Alegre, ano 47, n. 16.414,  p. 2, 12 ago. 2010. Disponível em:  http://www.clicrbs.com.br/zerohora/js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p/default.jspx?uf=1&amp;action=flip. Acesso em: 11  ago. 2010. </w:t>
      </w:r>
    </w:p>
    <w:p w:rsidR="00CF2865" w:rsidRDefault="005B5F18">
      <w:pPr>
        <w:widowControl w:val="0"/>
        <w:spacing w:before="282" w:after="0" w:line="229" w:lineRule="auto"/>
        <w:ind w:left="17" w:right="671" w:firstLine="2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Legislação</w:t>
      </w:r>
    </w:p>
    <w:p w:rsidR="00CF2865" w:rsidRDefault="00CF2865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CF2865" w:rsidRDefault="005B5F18">
      <w:pPr>
        <w:widowControl w:val="0"/>
        <w:spacing w:after="0" w:line="229" w:lineRule="auto"/>
        <w:ind w:left="20" w:right="67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RIO GRANDE DO SUL. [Constituição (1989)].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Constituição do Estado do Rio Grande  do Sul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4. ed. atual. Porto Alegre: Assembleia Legislativa do Estado do Rio Grande do  Sul, 1995. </w:t>
      </w:r>
    </w:p>
    <w:p w:rsidR="00CF2865" w:rsidRDefault="00CF2865">
      <w:pPr>
        <w:widowControl w:val="0"/>
        <w:spacing w:after="0" w:line="229" w:lineRule="auto"/>
        <w:ind w:left="20" w:right="67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Legi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slação em meio eletrônico</w:t>
      </w: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29" w:lineRule="auto"/>
        <w:ind w:left="32" w:right="675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[Constituição (1988)].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Constituição da República Federativa do Brasil de  1988</w:t>
      </w:r>
      <w:r>
        <w:rPr>
          <w:rFonts w:ascii="Times New Roman" w:eastAsia="Times New Roman" w:hAnsi="Times New Roman" w:cs="Times New Roman"/>
          <w:sz w:val="24"/>
          <w:szCs w:val="24"/>
        </w:rPr>
        <w:t>. Brasília, DF: Presidência da República, [2016]. Disponível em:</w:t>
      </w:r>
    </w:p>
    <w:p w:rsidR="00CF2865" w:rsidRDefault="005B5F18">
      <w:pPr>
        <w:widowControl w:val="0"/>
        <w:spacing w:after="0" w:line="229" w:lineRule="auto"/>
        <w:ind w:left="23" w:right="681" w:hanging="5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http://www.planalto.gov.br/ccivil_03/Constituicao/Constituiçao.htm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11 jan.  2017. </w:t>
      </w:r>
    </w:p>
    <w:p w:rsidR="00CF2865" w:rsidRDefault="005B5F18">
      <w:pPr>
        <w:widowControl w:val="0"/>
        <w:spacing w:before="281" w:after="0" w:line="230" w:lineRule="auto"/>
        <w:ind w:left="17" w:right="668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Decreto-lei nº 200, de 25 de fevereiro de 1967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Dispõe sobre a organização  da Administração Federal, estabelece diretrizes para a Reforma Administrativa, e dá  outras providências.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VADE mecum. Porto Alegre: Verbo Jurídico, 2007. 1 CD-ROM,  p. 1-90. </w:t>
      </w:r>
    </w:p>
    <w:p w:rsidR="00CF2865" w:rsidRDefault="005B5F18">
      <w:pPr>
        <w:widowControl w:val="0"/>
        <w:spacing w:before="281" w:after="0" w:line="229" w:lineRule="auto"/>
        <w:ind w:left="18" w:right="673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CURITIBA.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Lei nº 12.092, de 21 de dezembro de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006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Estima a receita e fixa a despesa  do município de Curitiba para o exercício financeiro de 2007. Curitiba: Câmara  Municipal, [2007]. Disponível em:  </w:t>
      </w:r>
      <w:hyperlink r:id="rId2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http://domino.cmc.pr.gov.br/contlei.nsf/98454e416897038b052568fc004fc180/e5df879ac6353e7f032572800061df72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11 mar. 2007. </w:t>
      </w:r>
    </w:p>
    <w:p w:rsidR="00CF2865" w:rsidRDefault="00CF2865">
      <w:pPr>
        <w:widowControl w:val="0"/>
        <w:spacing w:before="6" w:after="0" w:line="240" w:lineRule="auto"/>
        <w:ind w:left="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Trabalho publicado em anais de eventos</w:t>
      </w: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29" w:lineRule="auto"/>
        <w:ind w:left="17" w:right="669" w:firstLine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SOBRENOME, N. Título do trabalho em redondo.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: NOME DO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VENTO EM  MAIÚSCULAS, n. do evento, ano do evento, cidade do evento.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Anais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[...]. Cidade de  publicação: Editora/organizadora do evento, ano de publicação.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DOI (se houver) OU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endereço eletrônico e data de acesso. Sempre que houver DOI, este deve ser infor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mado.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2865" w:rsidRDefault="005B5F18">
      <w:pPr>
        <w:widowControl w:val="0"/>
        <w:spacing w:before="282" w:after="0" w:line="229" w:lineRule="auto"/>
        <w:ind w:left="18" w:right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FRANÇA, A. A.; VILAR, S. R.; ARAÚJO, L. M.; COSTA JUNIOR, A. G. Projeto de  controladores PI/PID discretizados para velocidade angular de um robô móvel com tração  diferencial.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: CONGRESSO BRASILEIRO DE AUTOMÁTICA (CBA 2018), 22.,  2018, João Pess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Anais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[...]. João Pessoa: Sociedade Brasileira de Automática, 2018.  Disponível em:  </w:t>
      </w:r>
      <w:hyperlink r:id="rId2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https://www.sba.org.br/open_journal_systems/index.php/cba/article/view/14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 em: 11 maio 2020. </w:t>
      </w:r>
    </w:p>
    <w:p w:rsidR="00CF2865" w:rsidRDefault="005B5F18">
      <w:pPr>
        <w:widowControl w:val="0"/>
        <w:spacing w:before="281" w:after="0" w:line="230" w:lineRule="auto"/>
        <w:ind w:left="18" w:right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MELO JUNIOR, A. J.; SILVA, F. E. M.; MARTINS, L. L. P.; GOMES, T. M. A.; LEÃO,  R. P. S. Desenvolvimento de aplicativo para estudo de propagação de afundamentos de  tensão com base na IEEE Std 1668-2017.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: CONGRESSO BRASILEI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 DE  AUTOMÁTICA (CBA 2020), 23., 2020, Porto Alegre.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Anais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[...]. Porto Alegre:  Sociedade Brasileira de Automática, 2020. DOI: </w:t>
      </w:r>
      <w:hyperlink r:id="rId2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https://doi.org/10.48011/asba.v2i1.1680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F2865" w:rsidRDefault="00CF2865">
      <w:pPr>
        <w:widowControl w:val="0"/>
        <w:spacing w:before="281" w:after="0" w:line="230" w:lineRule="auto"/>
        <w:ind w:left="18" w:right="6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Filmes, vídeos, entre outros em meio eletrônico</w:t>
      </w: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30" w:lineRule="auto"/>
        <w:ind w:left="18" w:right="674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UM MANIFESTO 2.0 do bibliotecário. Mash up por Laura Cohen. Tradução: Maria José  Vicentini Jorente. [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S. 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s. 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], 2007. 1 vídeo (4 min). Disponível em:  </w:t>
      </w:r>
      <w:hyperlink r:id="rId2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http://www.youtube.com/watch?vYj1p0A8DMrE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11 maio 2010. </w:t>
      </w:r>
    </w:p>
    <w:p w:rsidR="00CF2865" w:rsidRDefault="00CF2865">
      <w:pPr>
        <w:widowControl w:val="0"/>
        <w:spacing w:after="0" w:line="230" w:lineRule="auto"/>
        <w:ind w:left="18" w:right="674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Documento de acesso exclusivo em meio eletrônico</w:t>
      </w:r>
    </w:p>
    <w:p w:rsidR="00CF2865" w:rsidRDefault="00CF2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F2865" w:rsidRDefault="005B5F18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APPLE.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OS X El Capitan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Versão 10.11.6. [Cupertino]: Apple, c2017. </w:t>
      </w:r>
    </w:p>
    <w:p w:rsidR="00CF2865" w:rsidRDefault="005B5F18">
      <w:pPr>
        <w:widowControl w:val="0"/>
        <w:spacing w:before="271" w:after="0" w:line="230" w:lineRule="auto"/>
        <w:ind w:left="17" w:right="670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LAPAROTOMIA.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: WIKIPEDIA: the free encyclopedia. [San 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ancisco, CA: 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Wikimedia Foundation, 2010]. Disponível em: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http://en.wikipedia.org/wiki/Laparotomia</w:t>
      </w:r>
      <w:r>
        <w:rPr>
          <w:rFonts w:ascii="Times New Roman" w:eastAsia="Times New Roman" w:hAnsi="Times New Roman" w:cs="Times New Roman"/>
          <w:sz w:val="24"/>
          <w:szCs w:val="24"/>
        </w:rPr>
        <w:t>. Acesso em: 11 mar. 2010.</w:t>
      </w:r>
    </w:p>
    <w:p w:rsidR="00CF2865" w:rsidRDefault="00CF286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2865" w:rsidRDefault="00CF2865">
      <w:pPr>
        <w:spacing w:line="360" w:lineRule="auto"/>
        <w:jc w:val="both"/>
        <w:rPr>
          <w:rFonts w:ascii="Arial" w:eastAsia="Arial" w:hAnsi="Arial" w:cs="Arial"/>
          <w:color w:val="C00000"/>
        </w:rPr>
      </w:pPr>
    </w:p>
    <w:sectPr w:rsidR="00CF2865">
      <w:headerReference w:type="first" r:id="rId24"/>
      <w:pgSz w:w="11906" w:h="16838"/>
      <w:pgMar w:top="1700" w:right="1417" w:bottom="1700" w:left="141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F18" w:rsidRDefault="005B5F18">
      <w:pPr>
        <w:spacing w:after="0" w:line="240" w:lineRule="auto"/>
      </w:pPr>
      <w:r>
        <w:separator/>
      </w:r>
    </w:p>
  </w:endnote>
  <w:endnote w:type="continuationSeparator" w:id="0">
    <w:p w:rsidR="005B5F18" w:rsidRDefault="005B5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do"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F18" w:rsidRDefault="005B5F18">
      <w:pPr>
        <w:spacing w:after="0" w:line="240" w:lineRule="auto"/>
      </w:pPr>
      <w:r>
        <w:separator/>
      </w:r>
    </w:p>
  </w:footnote>
  <w:footnote w:type="continuationSeparator" w:id="0">
    <w:p w:rsidR="005B5F18" w:rsidRDefault="005B5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865" w:rsidRDefault="00CF28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865"/>
    <w:rsid w:val="0052314A"/>
    <w:rsid w:val="005B5F18"/>
    <w:rsid w:val="00C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0AB06-C909-4CDB-95C4-07E75F50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D9D9"/>
      <w:vAlign w:val="center"/>
    </w:tcPr>
    <w:tblStylePr w:type="firstRow">
      <w:pPr>
        <w:jc w:val="left"/>
      </w:pPr>
      <w:rPr>
        <w:b/>
        <w:color w:val="FFFFFF"/>
      </w:rPr>
      <w:tblPr/>
      <w:tcPr>
        <w:shd w:val="clear" w:color="auto" w:fill="808080"/>
      </w:tcPr>
    </w:tblStylePr>
    <w:tblStylePr w:type="firstCol">
      <w:rPr>
        <w:b/>
      </w:rPr>
    </w:tblStylePr>
    <w:tblStylePr w:type="band2Horz"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  <w:style w:type="table" w:customStyle="1" w:styleId="a0">
    <w:basedOn w:val="TableNormal2"/>
    <w:pPr>
      <w:spacing w:after="0" w:line="240" w:lineRule="auto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D9D9"/>
      <w:vAlign w:val="center"/>
    </w:tcPr>
    <w:tblStylePr w:type="firstRow">
      <w:pPr>
        <w:jc w:val="left"/>
      </w:pPr>
      <w:rPr>
        <w:b/>
        <w:color w:val="FFFFFF"/>
      </w:rPr>
      <w:tblPr/>
      <w:tcPr>
        <w:shd w:val="clear" w:color="auto" w:fill="808080"/>
      </w:tcPr>
    </w:tblStylePr>
    <w:tblStylePr w:type="firstCol">
      <w:rPr>
        <w:b/>
      </w:rPr>
    </w:tblStylePr>
    <w:tblStylePr w:type="band2Horz"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es.usp.br/teses/disponiveis/5/5131/tde-24092009-171538/pt-br.php" TargetMode="External"/><Relationship Id="rId13" Type="http://schemas.openxmlformats.org/officeDocument/2006/relationships/hyperlink" Target="http://www.priberam.pt/dlDLPO" TargetMode="External"/><Relationship Id="rId18" Type="http://schemas.openxmlformats.org/officeDocument/2006/relationships/hyperlink" Target="http://www.bancadigital.com.br/diariodovale/reader2/Default.aspx?pID=1&amp;eID=495&amp;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sba.org.br/open_journal_systems/index.php/cba/article/view/142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2.inca.gov.br/wps/wcm/connect/tiposdecancer/site/home/estomago/definicao" TargetMode="External"/><Relationship Id="rId17" Type="http://schemas.openxmlformats.org/officeDocument/2006/relationships/hyperlink" Target="https://doi.org/10.1007/s40313-020-00661-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razilnet.com.br/contexts/brasilrevistas.htm" TargetMode="External"/><Relationship Id="rId20" Type="http://schemas.openxmlformats.org/officeDocument/2006/relationships/hyperlink" Target="http://domino.cmc.pr.gov.br/contlei.nsf/98454e416897038b052568fc004fc180/e5df879ac6353e7f032572800061df7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ortal.unesco.org/ci/en/files/22439/11510733461Principles_of_AwarenessRaising_19th_April_06.pdf/Principles%2Bof%2BAwareness_Raising_19th%2BApril%2B06.pd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bibliotecadigital.fgv.br/ojs/index.php/agroanalysis/article/view/76577" TargetMode="External"/><Relationship Id="rId23" Type="http://schemas.openxmlformats.org/officeDocument/2006/relationships/hyperlink" Target="http://www.youtube.com/watch?vYj1p0A8DMrE" TargetMode="External"/><Relationship Id="rId10" Type="http://schemas.openxmlformats.org/officeDocument/2006/relationships/hyperlink" Target="http://www.lume.ufrgs.br/bitstream/handle/10183/16359/000695147.pdf?sequence=1" TargetMode="External"/><Relationship Id="rId19" Type="http://schemas.openxmlformats.org/officeDocument/2006/relationships/hyperlink" Target="http://www.planalto.gov.br/ccivil_03/Constituicao/Constitui%C3%A7ao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io.ufrn.br/handle/123456789/28237" TargetMode="External"/><Relationship Id="rId14" Type="http://schemas.openxmlformats.org/officeDocument/2006/relationships/hyperlink" Target="https://doi.org/10.1007/s40313-020-00665-x" TargetMode="External"/><Relationship Id="rId22" Type="http://schemas.openxmlformats.org/officeDocument/2006/relationships/hyperlink" Target="https://doi.org/10.48011/asba.v2i1.1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jJEMijH2Wn4AAYNCHF0wMCCNzw==">CgMxLjAaHwoBMBIaChgICVIUChJ0YWJsZS4zdjgwOG53Z3ZmNXIaIwoBMRIeChwIB0IYCg9UaW1lcyBOZXcgUm9tYW4SBUNhcmRvGiUKATISIAoeCAdCGgoPVGltZXMgTmV3IFJvbWFuEgdHdW5nc3VoOAByITFFQ0dyeHYxNUdIYTNvbzlkUFcxYkJhd1BFTkNVa0JxVQ==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2787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IFRN</Company>
  <LinksUpToDate>false</LinksUpToDate>
  <CharactersWithSpaces>17804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</dc:creator>
  <cp:lastModifiedBy>Magda Renata Marques Diniz</cp:lastModifiedBy>
  <cp:revision>2</cp:revision>
  <dcterms:created xsi:type="dcterms:W3CDTF">2025-07-09T15:45:00Z</dcterms:created>
  <dcterms:modified xsi:type="dcterms:W3CDTF">2025-07-09T15:45:00Z</dcterms:modified>
</cp:coreProperties>
</file>